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12995</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324, §1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Finance Authority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2</w:t>
        <w:t xml:space="preserve">.  </w:t>
      </w:r>
      <w:r>
        <w:rPr>
          <w:b/>
        </w:rPr>
        <w:t xml:space="preserve">Eligible student loan.</w:t>
        <w:t xml:space="preserve"> </w:t>
      </w:r>
      <w:r>
        <w:t xml:space="preserve"> </w:t>
      </w:r>
      <w:r>
        <w:t xml:space="preserve">"Eligible student loan" means an undergraduate or graduate school student loan obtained for study at an accredited institution of higher education by a student eligible to receive assistance under a federal student assistance program authorized under the federal Higher Education Act of 1965, Title IV.</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3</w:t>
        <w:t xml:space="preserve">.  </w:t>
      </w:r>
      <w:r>
        <w:rPr>
          <w:b/>
        </w:rPr>
        <w:t xml:space="preserve">Fund.</w:t>
        <w:t xml:space="preserve"> </w:t>
      </w:r>
      <w:r>
        <w:t xml:space="preserve"> </w:t>
      </w:r>
      <w:r>
        <w:t xml:space="preserve">"Fund" means the Maine Credentialed Workforce Program Fund established in </w:t>
      </w:r>
      <w:r>
        <w:t>section 12997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4</w:t>
        <w:t xml:space="preserve">.  </w:t>
      </w:r>
      <w:r>
        <w:rPr>
          <w:b/>
        </w:rPr>
        <w:t xml:space="preserve">Priority occupation.</w:t>
        <w:t xml:space="preserve"> </w:t>
      </w:r>
      <w:r>
        <w:t xml:space="preserve"> </w:t>
      </w:r>
      <w:r>
        <w:t xml:space="preserve">"Priority occupation" means a profession needing skilled workers as identified by the authority in consultation with workforce experts and in the Department of Economic and Community Development publication "Maine Economic Development Strategy 2020-2029," or successor economic development strategy for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w:pPr>
        <w:jc w:val="both"/>
        <w:spacing w:before="100" w:after="0"/>
        <w:ind w:start="360"/>
        <w:ind w:firstLine="360"/>
      </w:pPr>
      <w:r>
        <w:rPr>
          <w:b/>
        </w:rPr>
        <w:t>5</w:t>
        <w:t xml:space="preserve">.  </w:t>
      </w:r>
      <w:r>
        <w:rPr>
          <w:b/>
        </w:rPr>
        <w:t xml:space="preserve">Program.</w:t>
        <w:t xml:space="preserve"> </w:t>
      </w:r>
      <w:r>
        <w:t xml:space="preserve"> </w:t>
      </w:r>
      <w:r>
        <w:t xml:space="preserve">"Program" means the Maine Credentialed Workforce Program established in </w:t>
      </w:r>
      <w:r>
        <w:t>section 12996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§12995.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§12995.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§12995.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