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§12988. Training for Title IX coordinators, campus safety personnel and individuals involved in the disciplinary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§12988. Training for Title IX coordinators, campus safety personnel and individuals involved in the disciplinary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§12988. TRAINING FOR TITLE IX COORDINATORS, CAMPUS SAFETY PERSONNEL AND INDIVIDUALS INVOLVED IN THE DISCIPLINARY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