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1. Higher Education Loan and Loan Insur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1. Higher Education Loan and Loan Insur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1. HIGHER EDUCATION LOAN AND LOAN INSUR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