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Adoption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§9-402. ADOPTION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