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§9-316. Confirmatory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§9-316. Confirmatory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§9-316. CONFIRMATORY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