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Time of taking effect; provisions for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Time of taking effect; provisions for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§8-301. TIME OF TAKING EFFECT; PROVISIONS FOR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