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Reduction of liability where signed by surety company</w:t>
      </w:r>
    </w:p>
    <w:p>
      <w:pPr>
        <w:jc w:val="both"/>
        <w:spacing w:before="100" w:after="100"/>
        <w:ind w:start="360"/>
        <w:ind w:firstLine="360"/>
      </w:pPr>
      <w:r>
        <w:rPr/>
      </w:r>
      <w:r>
        <w:rPr/>
      </w:r>
      <w:r>
        <w:t xml:space="preserve">If a surety company becomes surety on a bond given to the State of Maine, the court may, upon petition of any party in interest and after notice to all interested parties, reduce the amount for which the principal and surety are liable for a subsequent violation of the conditions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§8-208. Reduction of liability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Reduction of liability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§8-208. REDUCTION OF LIABILITY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