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8-108</w:t>
        <w:t xml:space="preserve">.  </w:t>
      </w:r>
      <w:r>
        <w:rPr>
          <w:b/>
        </w:rPr>
        <w:t xml:space="preserve">Appointment of receiver for absentee's debts</w:t>
      </w:r>
    </w:p>
    <w:p>
      <w:pPr>
        <w:jc w:val="both"/>
        <w:spacing w:before="100" w:after="100"/>
        <w:ind w:start="360"/>
        <w:ind w:firstLine="360"/>
      </w:pPr>
      <w:r>
        <w:rPr/>
      </w:r>
      <w:r>
        <w:rPr/>
      </w:r>
      <w:r>
        <w:t xml:space="preserve">If an absentee has left no corporeal property within the State, but there are debts or obligations due or owing the absentee from persons in the State, a petition may be filed as provided in </w:t>
      </w:r>
      <w:r>
        <w:t>section 8‑101</w:t>
      </w:r>
      <w:r>
        <w:t xml:space="preserve">, stating the nature and amount of the absentee's known debts and obligations and praying that a receiver may be appointed.  Upon receipt of the petition, the court may issue a notice as provided in </w:t>
      </w:r>
      <w:r>
        <w:t>section 8‑103</w:t>
      </w:r>
      <w:r>
        <w:t xml:space="preserve"> without issuing a warrant and may, upon the return of the notice and after a hearing, dismiss the petition or appoint a receiver and authorize and direct the receiver to demand and collect the absentee's debts and obligations.  The receiver shall give bond as provided in </w:t>
      </w:r>
      <w:r>
        <w:t>section 8‑105</w:t>
      </w:r>
      <w:r>
        <w:t xml:space="preserve"> and shall hold the proceeds of the absentee's debts and obligations and all property received by the receiver and distribute the same as provided in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§8-108. Appointment of receiver for absentee's debts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§8-108. Appointment of receiver for absentee's debts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§8-108. APPOINTMENT OF RECEIVER FOR ABSENTEE'S DEBTS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