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Publication</w:t>
      </w:r>
    </w:p>
    <w:p>
      <w:pPr>
        <w:jc w:val="both"/>
        <w:spacing w:before="100" w:after="100"/>
        <w:ind w:start="360"/>
        <w:ind w:firstLine="360"/>
      </w:pPr>
      <w:r>
        <w:rPr/>
      </w:r>
      <w:r>
        <w:rPr/>
      </w:r>
      <w:r>
        <w:t xml:space="preserve">The return day may not be less than 30 days nor more than 60 days after the date of the notice.  The court shall order the notice to be published once in each of 3 successive weeks in one or more newspapers within the county in which the petition was filed under </w:t>
      </w:r>
      <w:r>
        <w:t>section 8‑101</w:t>
      </w:r>
      <w:r>
        <w:t xml:space="preserve"> and a copy of the notice to be mailed to the last known address of the absentee.  The court may order additional and alternative notice to be given within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