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§5-932. Incorporation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§5-932. INCORPORATION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