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5-918</w:t>
        <w:t xml:space="preserve">.  </w:t>
      </w:r>
      <w:r>
        <w:rPr>
          <w:b/>
        </w:rPr>
        <w:t xml:space="preserve">Agent's resignation; notice</w:t>
      </w:r>
    </w:p>
    <w:p>
      <w:pPr>
        <w:jc w:val="both"/>
        <w:spacing w:before="100" w:after="100"/>
        <w:ind w:start="360"/>
        <w:ind w:firstLine="360"/>
      </w:pPr>
      <w:r>
        <w:rPr/>
      </w:r>
      <w:r>
        <w:rPr/>
      </w:r>
      <w:r>
        <w:t xml:space="preserve">Unless the power of attorney provides a different method for an agent's resignation, an agent may resign by giving notice to the principal and, if the principal is incapacitated: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Conservator, guardian, coagent, successor agent.</w:t>
        <w:t xml:space="preserve"> </w:t>
      </w:r>
      <w:r>
        <w:t xml:space="preserve"> </w:t>
      </w:r>
      <w:r>
        <w:t xml:space="preserve">To the conservator or guardian, if one has been appointed for the principal, and a coagent or successor agent;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Caregiver, interested person, governmental agency.</w:t>
        <w:t xml:space="preserve"> </w:t>
      </w:r>
      <w:r>
        <w:t xml:space="preserve"> </w:t>
      </w:r>
      <w:r>
        <w:t xml:space="preserve">If there is no person described in </w:t>
      </w:r>
      <w:r>
        <w:t>subsection 1</w:t>
      </w:r>
      <w:r>
        <w:t xml:space="preserve">, to:</w:t>
      </w:r>
    </w:p>
    <w:p>
      <w:pPr>
        <w:jc w:val="both"/>
        <w:spacing w:before="100" w:after="0"/>
        <w:ind w:start="720"/>
      </w:pPr>
      <w:r>
        <w:rPr/>
        <w:t>A</w:t>
        <w:t xml:space="preserve">.  </w:t>
      </w:r>
      <w:r>
        <w:rPr/>
      </w:r>
      <w:r>
        <w:t xml:space="preserve">The principal's caregiver;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Another person reasonably believed by the agent to have sufficient interest in the principal's welfare;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governmental agency having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§5-918. AGENT'S RESIGNATION;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