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5-711</w:t>
        <w:t xml:space="preserve">.  </w:t>
      </w:r>
      <w:r>
        <w:rPr>
          <w:b/>
        </w:rPr>
        <w:t xml:space="preserve">Compensation</w:t>
      </w:r>
    </w:p>
    <w:p>
      <w:pPr>
        <w:jc w:val="both"/>
        <w:spacing w:before="100" w:after="0"/>
        <w:ind w:start="360"/>
        <w:ind w:firstLine="360"/>
      </w:pPr>
      <w:r>
        <w:rPr>
          <w:b/>
        </w:rPr>
        <w:t>1</w:t>
        <w:t xml:space="preserve">.  </w:t>
      </w:r>
      <w:r>
        <w:rPr>
          <w:b/>
        </w:rPr>
        <w:t xml:space="preserve">Reasonable expenses; account for costs.</w:t>
        <w:t xml:space="preserve"> </w:t>
      </w:r>
      <w:r>
        <w:t xml:space="preserve"> </w:t>
      </w:r>
      <w:r>
        <w:t xml:space="preserve">The public guardian or conservator may receive such reasonable amounts for its expenses as guardian or conservator as the Probate Court may allow.  The amounts so allowed must be allocated to an account from which may be drawn expenses for filing fees, court costs and other expenses required in the administration of the functions of the public guardian or conservator.  No amounts thus received may inure to the benefit of any employee of the public guardian or conservator.  Any balance in the account at the end of a fiscal year does not lapse but is carried forward from year to year and used for the purposes provided for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KK, §4 (AMD).]</w:t>
      </w:r>
    </w:p>
    <w:p>
      <w:pPr>
        <w:jc w:val="both"/>
        <w:spacing w:before="100" w:after="0"/>
        <w:ind w:start="360"/>
        <w:ind w:firstLine="360"/>
      </w:pPr>
      <w:r>
        <w:rPr>
          <w:b/>
        </w:rPr>
        <w:t>2</w:t>
        <w:t xml:space="preserve">.  </w:t>
      </w:r>
      <w:r>
        <w:rPr>
          <w:b/>
        </w:rPr>
        <w:t xml:space="preserve">Reimbursement of personal expenditures.</w:t>
        <w:t xml:space="preserve"> </w:t>
      </w:r>
      <w:r>
        <w:t xml:space="preserve"> </w:t>
      </w:r>
      <w:r>
        <w:t xml:space="preserve">Any personal expenditures made on the individual subject to guardianship's or protected person's behalf by the public guardian or conservator must, when properly evidenced, be reimbursed out of the individual subject to guardianship's or protected person's estate.  Claims for services rendered by state agencies must be submitted to the Probate Court for approval before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398, Pt. KK,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§5-711.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§5-711.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§5-711.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