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5-703</w:t>
        <w:t xml:space="preserve">.  </w:t>
      </w:r>
      <w:r>
        <w:rPr>
          <w:b/>
        </w:rPr>
        <w:t xml:space="preserve">Exclusiveness of public guardian or conservator</w:t>
      </w:r>
    </w:p>
    <w:p>
      <w:pPr>
        <w:jc w:val="both"/>
        <w:spacing w:before="100" w:after="100"/>
        <w:ind w:start="360"/>
        <w:ind w:firstLine="360"/>
      </w:pPr>
      <w:r>
        <w:rPr/>
      </w:r>
      <w:r>
        <w:rPr/>
      </w:r>
      <w:r>
        <w:t xml:space="preserve">When the court has appointed a public guardian under this Part, no coguardian may be appointed for the same individual subject to guardianship. When the court has appointed a public conservator under this Part, a coconservator may not be appointed for the same individual subject to conservatorship.</w:t>
      </w:r>
      <w:r>
        <w:t xml:space="preserve">  </w:t>
      </w:r>
      <w:r xmlns:wp="http://schemas.openxmlformats.org/drawingml/2010/wordprocessingDrawing" xmlns:w15="http://schemas.microsoft.com/office/word/2012/wordml">
        <w:rPr>
          <w:rFonts w:ascii="Arial" w:hAnsi="Arial" w:cs="Arial"/>
          <w:sz w:val="22"/>
          <w:szCs w:val="22"/>
        </w:rPr>
        <w:t xml:space="preserve">[PL 2019, c. 417, Pt. A, §96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§96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§5-703. Exclusiveness of public guardian or conservator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§5-703. Exclusiveness of public guardian or conservator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§5-703. EXCLUSIVENESS OF PUBLIC GUARDIAN OR CONSERVATOR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