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5-623</w:t>
        <w:t xml:space="preserve">.  </w:t>
      </w:r>
      <w:r>
        <w:rPr>
          <w:b/>
        </w:rPr>
        <w:t xml:space="preserve">Jurisdiction</w:t>
      </w:r>
    </w:p>
    <w:p>
      <w:pPr>
        <w:jc w:val="both"/>
        <w:spacing w:before="100" w:after="100"/>
        <w:ind w:start="360"/>
        <w:ind w:firstLine="360"/>
      </w:pPr>
      <w:r>
        <w:rPr/>
      </w:r>
      <w:r>
        <w:rPr/>
      </w:r>
      <w:r>
        <w:t xml:space="preserve">A court of this State has jurisdiction to appoint a guardian or issue a protective order for a respondent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Respondent's home state.</w:t>
        <w:t xml:space="preserve"> </w:t>
      </w:r>
      <w:r>
        <w:t xml:space="preserve"> </w:t>
      </w:r>
      <w:r>
        <w:t xml:space="preserve">This State is the respondent's home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state and other factors.</w:t>
        <w:t xml:space="preserve"> </w:t>
      </w:r>
      <w:r>
        <w:t xml:space="preserve"> </w:t>
      </w:r>
      <w:r>
        <w:t xml:space="preserve">On the date the petition is filed, this State is a significant-connection state and:</w:t>
      </w:r>
    </w:p>
    <w:p>
      <w:pPr>
        <w:jc w:val="both"/>
        <w:spacing w:before="100" w:after="0"/>
        <w:ind w:start="720"/>
      </w:pPr>
      <w:r>
        <w:rPr/>
        <w:t>A</w:t>
        <w:t xml:space="preserve">.  </w:t>
      </w:r>
      <w:r>
        <w:rPr/>
      </w:r>
      <w:r>
        <w:t xml:space="preserve">The respondent does not have a home state or a court of the respondent's home state has declined to exercise jurisdiction because this State is a more appropriate forum;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respondent has a home state, a petition for an appointment or order is not pending in a court of that state or another significant-connection state and, before the court makes the appointment or issues the order:</w:t>
      </w:r>
    </w:p>
    <w:p>
      <w:pPr>
        <w:jc w:val="both"/>
        <w:spacing w:before="100" w:after="0"/>
        <w:ind w:start="1080"/>
      </w:pPr>
      <w:r>
        <w:rPr/>
        <w:t>(</w:t>
        <w:t>1</w:t>
        <w:t xml:space="preserve">)  </w:t>
      </w:r>
      <w:r>
        <w:rPr/>
      </w:r>
      <w:r>
        <w:t xml:space="preserve">A petition for an appointment or order is not filed in the respondent's home state;</w:t>
      </w:r>
    </w:p>
    <w:p>
      <w:pPr>
        <w:jc w:val="both"/>
        <w:spacing w:before="100" w:after="0"/>
        <w:ind w:start="1080"/>
      </w:pPr>
      <w:r>
        <w:rPr/>
        <w:t>(</w:t>
        <w:t>2</w:t>
        <w:t xml:space="preserve">)  </w:t>
      </w:r>
      <w:r>
        <w:rPr/>
      </w:r>
      <w:r>
        <w:t xml:space="preserve">An objection to the court's jurisdiction is not filed by a person required to be notified of the proceeding; and</w:t>
      </w:r>
    </w:p>
    <w:p>
      <w:pPr>
        <w:jc w:val="both"/>
        <w:spacing w:before="100" w:after="0"/>
        <w:ind w:start="1080"/>
      </w:pPr>
      <w:r>
        <w:rPr/>
        <w:t>(</w:t>
        <w:t>3</w:t>
        <w:t xml:space="preserve">)  </w:t>
      </w:r>
      <w:r>
        <w:rPr/>
      </w:r>
      <w:r>
        <w:t xml:space="preserve">The court in this State concludes that it is an appropriate forum under the factors set forth in </w:t>
      </w:r>
      <w:r>
        <w:t>section 5‑626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This State does not have jurisdiction under either </w:t>
      </w:r>
      <w:r>
        <w:t>paragraph A</w:t>
      </w:r>
      <w:r>
        <w:t xml:space="preserve"> or </w:t>
      </w:r>
      <w:r>
        <w:t>B</w:t>
      </w:r>
      <w:r>
        <w:t xml:space="preserve">, the respondent's home state and all significant-connection states have declined to exercise jurisdiction because this State is the more appropriate forum and jurisdiction in this State is consistent with the Constitution of Maine and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requirements for special jurisdiction under </w:t>
      </w:r>
      <w:r>
        <w:t>section 5‑624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