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§5-425. Transaction involving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§5-425. Transaction involving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§5-425. TRANSACTION INVOLVING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