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w:t>
        <w:t xml:space="preserve"> </w:t>
      </w:r>
      <w:r>
        <w:t xml:space="preserve"> </w:t>
      </w:r>
      <w:r>
        <w:t xml:space="preserve">The existence of a proceeding for or the existence of a guardianship for an adult is a matter of public record unless the court seals the records after:</w:t>
      </w:r>
    </w:p>
    <w:p>
      <w:pPr>
        <w:jc w:val="both"/>
        <w:spacing w:before="100" w:after="0"/>
        <w:ind w:start="720"/>
      </w:pPr>
      <w:r>
        <w:rPr/>
        <w:t>A</w:t>
        <w:t xml:space="preserve">.  </w:t>
      </w:r>
      <w:r>
        <w:rPr/>
      </w:r>
      <w:r>
        <w:t xml:space="preserve">The respondent or individual subject to guardianship requests the records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guardianship is dismissed; or</w:t>
      </w:r>
    </w:p>
    <w:p>
      <w:pPr>
        <w:jc w:val="both"/>
        <w:spacing w:before="100" w:after="0"/>
        <w:ind w:start="1080"/>
      </w:pPr>
      <w:r>
        <w:rPr/>
        <w:t>(</w:t>
        <w:t>2</w:t>
        <w:t xml:space="preserve">)  </w:t>
      </w:r>
      <w:r>
        <w:rPr/>
      </w:r>
      <w:r>
        <w:t xml:space="preserve">The guardianship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court records.</w:t>
        <w:t xml:space="preserve"> </w:t>
      </w:r>
      <w:r>
        <w:t xml:space="preserve"> </w:t>
      </w:r>
      <w:r>
        <w:t xml:space="preserve">An adult subject of a proceeding for a guardianship, whether or not a guardian is appointed, any attorney designated by the adult and a person entitled to notice under </w:t>
      </w:r>
      <w:r>
        <w:t>section 5‑310, subsection 5</w:t>
      </w:r>
      <w:r>
        <w:t xml:space="preserve"> are entitled to access court records of the proceeding and resulting guardianship, including a guardian's report or plan.  In addition, a person for good cause may petition the court for access to court records of the guardianship, including an annual report or guardian's plan.  The court shall grant access if access is in the best interest of the respondent or adult subject to guardianship or furthers the public interest and does not endanger the welfare or financial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confidential; availability.</w:t>
        <w:t xml:space="preserve"> </w:t>
      </w:r>
      <w:r>
        <w:t xml:space="preserve"> </w:t>
      </w:r>
      <w:r>
        <w:t xml:space="preserve">A report under </w:t>
      </w:r>
      <w:r>
        <w:t>section 5‑304</w:t>
      </w:r>
      <w:r>
        <w:t xml:space="preserve"> of a visitor or a professional evaluation under </w:t>
      </w:r>
      <w:r>
        <w:t>section 5‑306</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health care or advance health care directive, or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§30 (AMD). PL 2019, c. 417, Pt. B, §14 (AFF). PL 2021, c. 4, §2 (AMD). PL 2023, c. 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§5-308.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§5-308.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