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ind w:firstLine="360"/>
      </w:pPr>
      <w:r>
        <w:rPr/>
      </w:r>
      <w:r>
        <w:rPr/>
      </w:r>
      <w:r>
        <w:t xml:space="preserve">In addition to jurisdiction conferred by </w:t>
      </w:r>
      <w:r>
        <w:t>section 4‑301</w:t>
      </w:r>
      <w:r>
        <w:t xml:space="preserve">, a foreign personal representative is subject to the jurisdiction of the courts of this State to the same extent that the decedent was subject to jurisdiction immediately prior to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§4-302. JURISDICTION BY ACT OF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