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ind w:firstLine="360"/>
      </w:pPr>
      <w:r>
        <w:rPr/>
      </w:r>
      <w:r>
        <w:rPr/>
      </w:r>
      <w:r>
        <w:t xml:space="preserve">If property distributed in kind or a security interest in the property is acquired for value by a purchaser from or lender to a distributee who has received an instrument or deed of distribution from the personal representative, or is acquired by a purchaser from or lender to a transferee from a distributee, the purchaser or lender takes title free of rights of any interested person in the estate and incurs no personal liability to the estate, or to any interested person,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the personal representative, as well as a purchaser from or lender to any other distributee or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§3-910. PURCHASERS FROM DISTRIBUTEES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