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Right of retainer</w:t>
      </w:r>
    </w:p>
    <w:p>
      <w:pPr>
        <w:jc w:val="both"/>
        <w:spacing w:before="100" w:after="100"/>
        <w:ind w:start="360"/>
        <w:ind w:firstLine="360"/>
      </w:pPr>
      <w:r>
        <w:rPr/>
      </w:r>
      <w:r>
        <w:rPr/>
      </w:r>
      <w:r>
        <w:t xml:space="preserve">The amount of a noncontingent indebtedness of a successor to the estate if due, or its present value if not due, must be offset against the successor's interest, but the successor has the benefit of any defense that would be available to the debtor in a direct proceeding for recovery of the debt.  The debt constitutes a lien on the successor's interest in favor of the estate, having priority over any attachment or transfer of the interest by the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Right of retainer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§3-903. RIGHT OF RETAINER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