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3-720</w:t>
        <w:t xml:space="preserve">.  </w:t>
      </w:r>
      <w:r>
        <w:rPr>
          <w:b/>
        </w:rPr>
        <w:t xml:space="preserve">Expenses in estate litigation</w:t>
      </w:r>
    </w:p>
    <w:p>
      <w:pPr>
        <w:jc w:val="both"/>
        <w:spacing w:before="100" w:after="100"/>
        <w:ind w:start="360"/>
        <w:ind w:firstLine="360"/>
      </w:pPr>
      <w:r>
        <w:rPr/>
      </w:r>
      <w:r>
        <w:rPr/>
      </w:r>
      <w:r>
        <w:t xml:space="preserve">If any personal representative or person nominated as personal representative defends or prosecutes any proceeding in good faith, whether successful or not, the personal representative or nominee is entitled to receive from the estate necessary expenses and disbursements including reasonable attorney's fees incurred.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§3-720. Expenses in estate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§3-720. Expenses in estate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§3-720. EXPENSES IN ESTATE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