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3-1202</w:t>
        <w:t xml:space="preserve">.  </w:t>
      </w:r>
      <w:r>
        <w:rPr>
          <w:b/>
        </w:rPr>
        <w:t xml:space="preserve">Effect of affidavit</w:t>
      </w:r>
    </w:p>
    <w:p>
      <w:pPr>
        <w:jc w:val="both"/>
        <w:spacing w:before="100" w:after="100"/>
        <w:ind w:start="360"/>
        <w:ind w:firstLine="360"/>
      </w:pPr>
      <w:r>
        <w:rPr/>
      </w:r>
      <w:r>
        <w:rPr/>
      </w:r>
      <w:r>
        <w:t xml:space="preserve">The person paying, delivering, transferring or issuing personal property or the evidence of personal property pursuant to affidavit is discharged and released to the same extent as if the person dealt with a personal representative of the decedent.  The person is not required to see to the application of the personal property or evidence of personal property or to inquire into the truth of any statement in the affidavit.  If any person to whom an affidavit is delivered refuses to pay, deliver, transfer or issue any personal property or evidence of personal property, it may be recovered or its payment, delivery, transfer or issuance compelled upon proof of their right in a proceeding brought for the purpose by or on behalf of the persons entitled thereto. Any person to whom payment, delivery, transfer or issuance is made is answerable and accountable to any personal representative of the estate or to any other person having a superior right.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§3-1202. Effect of affidavit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§3-1202. Effect of affidavit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§3-1202. EFFECT OF AFFIDAVIT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