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ind w:firstLine="360"/>
      </w:pPr>
      <w:r>
        <w:rPr/>
      </w:r>
      <w:r>
        <w:rPr/>
      </w:r>
      <w:r>
        <w:t xml:space="preserve">After the personal representative's appointment has terminated, the personal representative, the personal representative's sureties or any successor of either, upon the filing of a verified application showing, so far as is known by the applicant, that no action concerning the estate is pending in any court, is entitled to receive a certificate from the register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§3-1007. Certificate discharging liens securing fiduciary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§3-1007. Certificate discharging liens securing fiduciary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§3-1007. CERTIFICATE DISCHARGING LIENS SECURING FIDUCIARY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