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ind w:firstLine="360"/>
      </w:pPr>
      <w:r>
        <w:rPr/>
      </w:r>
      <w:r>
        <w:rPr/>
      </w:r>
      <w:r>
        <w:t xml:space="preserve">Unless previously barred by adjudication and except as provided in the closing statement, the rights of successors and of creditors whose claims have not otherwise been barred against the personal representative for breach of fiduciary duty are barred unless a proceeding to assert those rights is commenced within 6 months after the filing of the closing statement.  The rights barred by this section do not include rights to recover from a personal representative for fraud, misrepresentation or inadequate disclosure related to the settlement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§3-1005. Limitations on proceedings against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§3-1005. Limitations on proceedings against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§3-1005. LIMITATIONS ON PROCEEDINGS AGAINST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