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§2-705. CLASS GIFTS CONSTRUED TO ACCORD WITH INTESTATE SUCCESSION;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