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Nonademption of specific devises; unpaid proceeds of sale, condemnation or insurance; sale by conservator or agent</w:t>
      </w:r>
    </w:p>
    <w:p>
      <w:pPr>
        <w:jc w:val="both"/>
        <w:spacing w:before="100" w:after="100"/>
        <w:ind w:start="360"/>
        <w:ind w:firstLine="360"/>
      </w:pPr>
      <w:r>
        <w:rPr>
          <w:b/>
        </w:rPr>
        <w:t>1</w:t>
        <w:t xml:space="preserve">.  </w:t>
      </w:r>
      <w:r>
        <w:rPr>
          <w:b/>
        </w:rPr>
        <w:t xml:space="preserve">Specifically devised property.</w:t>
        <w:t xml:space="preserve"> </w:t>
      </w:r>
      <w:r>
        <w:t xml:space="preserve"> </w:t>
      </w:r>
      <w:r>
        <w:t xml:space="preserve">A specific devisee has a right to specifically devised property in the testator's estate at the testator's death and to:</w:t>
      </w:r>
    </w:p>
    <w:p>
      <w:pPr>
        <w:jc w:val="both"/>
        <w:spacing w:before="100" w:after="0"/>
        <w:ind w:start="720"/>
      </w:pPr>
      <w:r>
        <w:rPr/>
        <w:t>A</w:t>
        <w:t xml:space="preserve">.  </w:t>
      </w:r>
      <w:r>
        <w:rPr/>
      </w:r>
      <w:r>
        <w:t xml:space="preserve">Any balance of the purchase price, together with any security agreement, owed by a purchaser at the testator's death by reason of sale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amount of a condemnation award for the taking of the property unpaid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proceeds unpaid at death on fire or casualty insurance on or other recovery for injury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property owned by the testator at death and acquired as a result of foreclosure, or obtained in lieu of foreclosure, of the security interest for a specifically devised obligation;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real property or tangible personal property owned by the testator at death that the testator acquired as a replacement for specifically devised real property or tangible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not covered by </w:t>
      </w:r>
      <w:r>
        <w:t>paragraphs A</w:t>
      </w:r>
      <w:r>
        <w:t xml:space="preserve"> to </w:t>
      </w:r>
      <w:r>
        <w:t>E</w:t>
      </w:r>
      <w:r>
        <w:t xml:space="preserve">, a pecuniary devise equal to the value as of its date of disposition of other specifically devised property disposed of during the testator's lifetime but only to the extent it is established that ademption would be inconsistent with the testator's manifested plan of distribution or that at the time the will was made, the date of disposition or otherwise, the testator did not intend ademption of the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General pecuniary devise from specifically devised property.</w:t>
        <w:t xml:space="preserve"> </w:t>
      </w:r>
      <w:r>
        <w:t xml:space="preserve"> </w:t>
      </w:r>
      <w:r>
        <w:t xml:space="preserve">If specifically devised property is sold or mortgaged by a conservator or by an agent acting within the authority of a durable power of attorney for an incapacitated principal, or a condemnation award,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Reduction of right to general pecuniary devise.</w:t>
        <w:t xml:space="preserve"> </w:t>
      </w:r>
      <w:r>
        <w:t xml:space="preserve"> </w:t>
      </w:r>
      <w:r>
        <w:t xml:space="preserve">The right of a specific devisee under </w:t>
      </w:r>
      <w:r>
        <w:t>subsection 2</w:t>
      </w:r>
      <w:r>
        <w:t xml:space="preserve"> is reduced by any right the devisee has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Survival of testator; incapacity ceased.</w:t>
        <w:t xml:space="preserve"> </w:t>
      </w:r>
      <w:r>
        <w:t xml:space="preserve"> </w:t>
      </w:r>
      <w:r>
        <w:t xml:space="preserve">For the purposes of the references in </w:t>
      </w:r>
      <w:r>
        <w:t>subsection 2</w:t>
      </w:r>
      <w:r>
        <w:t xml:space="preserve"> to a conservator, </w:t>
      </w:r>
      <w:r>
        <w:t>subsection 2</w:t>
      </w:r>
      <w:r>
        <w:t xml:space="preserve"> does not apply if, after the sale, mortgage, condemnation, casualty or recovery, it was adjudicated that the testator's incapacity ceased and the testator survived the adjudication for at least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Durable power of attorney.</w:t>
        <w:t xml:space="preserve"> </w:t>
      </w:r>
      <w:r>
        <w:t xml:space="preserve"> </w:t>
      </w:r>
      <w:r>
        <w:t xml:space="preserve">For the purposes of the references in </w:t>
      </w:r>
      <w:r>
        <w:t>subsection 2</w:t>
      </w:r>
      <w:r>
        <w:t xml:space="preserve"> to an agent acting within the authority of a durable power of attorney for an incapacitated principal:</w:t>
      </w:r>
    </w:p>
    <w:p>
      <w:pPr>
        <w:jc w:val="both"/>
        <w:spacing w:before="100" w:after="0"/>
        <w:ind w:start="720"/>
      </w:pPr>
      <w:r>
        <w:rPr/>
        <w:t>A</w:t>
        <w:t xml:space="preserve">.  </w:t>
      </w:r>
      <w:r>
        <w:rPr/>
      </w:r>
      <w:r>
        <w:t xml:space="preserve">"Incapacitated principal" means a principal who is an incapacitated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adjudication of incapacity before death is not necessary;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acts of an agent within the authority of a durable power of attorney are presumed to be for an incapacitated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§2-606. Nonademption of specific devises; unpaid proceeds of sale, condemnation or insurance; sale by conservator or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Nonademption of specific devises; unpaid proceeds of sale, condemnation or insurance; sale by conservator or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§2-606. NONADEMPTION OF SPECIFIC DEVISES; UNPAID PROCEEDS OF SALE, CONDEMNATION OR INSURANCE; SALE BY CONSERVATOR OR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