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Who may witness a will</w:t>
      </w:r>
    </w:p>
    <w:p>
      <w:pPr>
        <w:jc w:val="both"/>
        <w:spacing w:before="100" w:after="0"/>
        <w:ind w:start="360"/>
        <w:ind w:firstLine="360"/>
      </w:pPr>
      <w:r>
        <w:rPr>
          <w:b/>
        </w:rPr>
        <w:t>1</w:t>
        <w:t xml:space="preserve">.  </w:t>
      </w:r>
      <w:r>
        <w:rPr>
          <w:b/>
        </w:rPr>
        <w:t xml:space="preserve">Witness.</w:t>
        <w:t xml:space="preserve"> </w:t>
      </w:r>
      <w:r>
        <w:t xml:space="preserve"> </w:t>
      </w:r>
      <w:r>
        <w:t xml:space="preserve">An individual generally competent to be a witness may act as a witness to a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Interested witness.</w:t>
        <w:t xml:space="preserve"> </w:t>
      </w:r>
      <w:r>
        <w:t xml:space="preserve"> </w:t>
      </w:r>
      <w:r>
        <w:t xml:space="preserve">The signing of a will by an interested witness does not invalidate the will or any portion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§2-504. Who may witness a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Who may witness a will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§2-504. WHO MAY WITNESS A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