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2-112</w:t>
        <w:t xml:space="preserve">.  </w:t>
      </w:r>
      <w:r>
        <w:rPr>
          <w:b/>
        </w:rPr>
        <w:t xml:space="preserve">Individuals related to decedent through 2 lines</w:t>
      </w:r>
    </w:p>
    <w:p>
      <w:pPr>
        <w:jc w:val="both"/>
        <w:spacing w:before="100" w:after="100"/>
        <w:ind w:start="360"/>
        <w:ind w:firstLine="360"/>
      </w:pPr>
      <w:r>
        <w:rPr/>
      </w:r>
      <w:r>
        <w:rPr/>
      </w:r>
      <w:r>
        <w:t xml:space="preserve">An individual who is related to the decedent through 2 lines of relationship is entitled to only a single share based on the relationship that would entitle the individual to the larger share.  In cases where such an heir would take equal shares, the individual is entitled to the equivalent of a single share.  The court shall equitably apportion the amount equivalent in value to the share denied such heir by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§2-112. Individuals related to decedent through 2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§2-112. Individuals related to decedent through 2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§2-112. INDIVIDUALS RELATED TO DECEDENT THROUGH 2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