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§1-505. NOTICES TO DEVISEES AND HEIRS;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