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elective share petitions involving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Certification of wills; appointments of personal representatives; elective share petitions involving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§1-504. CERTIFICATION OF WILLS; APPOINTMENTS OF PERSONAL REPRESENTATIVES; ELECTIVE SHARE PETITIONS INVOLVING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