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§5-804. Revocation of advance health 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Revocation of advance health 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§5-804. REVOCATION OF ADVANCE HEALTH 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