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ind w:firstLine="360"/>
      </w:pPr>
      <w:r>
        <w:rPr/>
      </w:r>
      <w:r>
        <w:rPr/>
      </w:r>
      <w:r>
        <w:t xml:space="preserve">Upon receipt of an application requesting informal probate of a will, the register upon making the findings required by </w:t>
      </w:r>
      <w:r>
        <w:t>section 3‑303</w:t>
      </w:r>
      <w:r>
        <w:t xml:space="preserve"> shall issue a written statement of informal probate if at least 120 hours have elapsed since the decedent's death.  Informal probate is conclusive as to all persons until superseded by an order in a formal testacy proceeding.  No defect in the application or procedure that leads to informal probate of a will renders the probate void.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§3-302. INFORMAL PROBATE; DUTY OF REGISTER; EFFECT OF INFORMAL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