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10-109</w:t>
        <w:t xml:space="preserve">.  </w:t>
      </w:r>
      <w:r>
        <w:rPr>
          <w:b/>
        </w:rPr>
        <w:t xml:space="preserve">Disclosure of content of electronic communications of principal</w:t>
      </w:r>
    </w:p>
    <w:p>
      <w:pPr>
        <w:jc w:val="both"/>
        <w:spacing w:before="100" w:after="100"/>
        <w:ind w:start="360"/>
        <w:ind w:firstLine="360"/>
      </w:pPr>
      <w:r>
        <w:rPr/>
      </w:r>
      <w:r>
        <w:rPr/>
      </w:r>
      <w: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of electronic communications if the agent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Power of attorney.</w:t>
        <w:t xml:space="preserve"> </w:t>
      </w:r>
      <w:r>
        <w:t xml:space="preserve"> </w:t>
      </w:r>
      <w:r>
        <w:t xml:space="preserve">An original or copy of the power of attorney expressly granting the agent authority over the content of electronic communications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Agent's certificate.</w:t>
        <w:t xml:space="preserve"> </w:t>
      </w:r>
      <w:r>
        <w:t xml:space="preserve"> </w:t>
      </w:r>
      <w:r>
        <w:t xml:space="preserve">A certification by the agent, under penalty of perjury, that the power of attorney is in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principal's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§10-109. Disclosure of content of electronic communications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§10-109. Disclosure of content of electronic communications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§10-109. DISCLOSURE OF CONTENT OF ELECTRONIC COMMUNICATIONS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