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Charitable purposes; enforcement</w:t>
      </w:r>
    </w:p>
    <w:p>
      <w:pPr>
        <w:jc w:val="both"/>
        <w:spacing w:before="100" w:after="0"/>
        <w:ind w:start="360"/>
        <w:ind w:firstLine="360"/>
      </w:pPr>
      <w:r>
        <w:rPr>
          <w:b/>
        </w:rPr>
        <w:t>1</w:t>
        <w:t xml:space="preserve">.  </w:t>
      </w:r>
      <w:r>
        <w:rPr>
          <w:b/>
        </w:rPr>
        <w:t xml:space="preserve">Purposes.</w:t>
        <w:t xml:space="preserve"> </w:t>
      </w:r>
      <w:r>
        <w:t xml:space="preserve"> </w:t>
      </w:r>
      <w:r>
        <w:t xml:space="preserve">A charitable trust may be created for the relief of poverty; the advancement of education or religion; the promotion of health; governmental or municipal purposes; or other purposes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Selection by court.</w:t>
        <w:t xml:space="preserve"> </w:t>
      </w:r>
      <w:r>
        <w:t xml:space="preserve"> </w:t>
      </w:r>
      <w:r>
        <w:t xml:space="preserve">If the terms of a charitable trust do not indicate a particular charitable purpose or beneficiary, the court may select one or more charitable purposes or beneficiaries.  The selection must be consistent with the settlor's intention to the extent it can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Enforcement.</w:t>
        <w:t xml:space="preserve"> </w:t>
      </w:r>
      <w:r>
        <w:t xml:space="preserve"> </w:t>
      </w:r>
      <w:r>
        <w:t xml:space="preserve">The settlor of a charitable trust, among others, may maintain a proceeding to enforce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Charitable purposes;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Charitable purposes;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§405. CHARITABLE PURPOSES;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