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152 (AMD). PL 1983, c. 480, §B24 (AMD). PL 1995, c. 149, §1 (AMD). PL 2005, c. 551, §1 (AMD). PL 2015, c. 306, §3 (AMD). PL 2017, c. 105, §§1-3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