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Unlawful dissemination of confidential criminal history record information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confidential criminal history record information if the person intentionally disseminates confidential criminal history record information knowing it to be in violation of any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§4 (AMD).]</w:t>
      </w:r>
    </w:p>
    <w:p>
      <w:pPr>
        <w:jc w:val="both"/>
        <w:spacing w:before="100" w:after="0"/>
        <w:ind w:start="360"/>
        <w:ind w:firstLine="360"/>
      </w:pPr>
      <w:r>
        <w:rPr>
          <w:b/>
        </w:rPr>
        <w:t>2</w:t>
        <w:t xml:space="preserve">.  </w:t>
      </w:r>
      <w:r>
        <w:rPr>
          <w:b/>
        </w:rPr>
        <w:t xml:space="preserve">Classification.</w:t>
        <w:t xml:space="preserve"> </w:t>
      </w:r>
      <w:r>
        <w:t xml:space="preserve"> </w:t>
      </w:r>
      <w:r>
        <w:t xml:space="preserve">Unlawful dissemination of confidential criminal history record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2015, c. 354, §2 (AMD). PL 2021, c. 293,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Unlawful dissemination of confidential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Unlawful dissemination of confidential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§707. UNLAWFUL DISSEMINATION OF CONFIDENTIAL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