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 OFFENSES NEAR COUNTY LINE OR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