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Warrant for arrest recalled or another issued</w:t>
      </w:r>
    </w:p>
    <w:p>
      <w:pPr>
        <w:jc w:val="both"/>
        <w:spacing w:before="100" w:after="100"/>
        <w:ind w:start="360"/>
        <w:ind w:firstLine="360"/>
      </w:pPr>
      <w:r>
        <w:rPr/>
      </w:r>
      <w:r>
        <w:rPr/>
      </w:r>
      <w:r>
        <w:t xml:space="preserve">The Governor may recall his warrant of arrest or may issue another warrant whenever he deems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Warrant for arrest recalled or another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Warrant for arrest recalled or another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 WARRANT FOR ARREST RECALLED OR ANOTHER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