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9007</w:t>
        <w:t xml:space="preserve">.  </w:t>
      </w:r>
      <w:r>
        <w:rPr>
          <w:b/>
        </w:rPr>
        <w:t xml:space="preserve">Choice of law</w:t>
      </w:r>
    </w:p>
    <w:p>
      <w:pPr>
        <w:jc w:val="both"/>
        <w:spacing w:before="100" w:after="100"/>
        <w:ind w:start="360"/>
        <w:ind w:firstLine="360"/>
      </w:pPr>
      <w:r>
        <w:rPr/>
      </w:r>
      <w:r>
        <w:rPr/>
      </w:r>
      <w:r>
        <w:t xml:space="preserve">Notwithstanding any general or special law or common law conflict of law rule to the contrary, the laws of this State govern in any case or controversy heard in this State involving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§9007.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§9007.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§9007.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