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8909</w:t>
        <w:t xml:space="preserve">.  </w:t>
      </w:r>
      <w:r>
        <w:rPr>
          <w:b/>
        </w:rPr>
        <w:t xml:space="preserve">Relationship to Uniform Foreign-country Money Judgments Recognition Act</w:t>
      </w:r>
    </w:p>
    <w:p>
      <w:pPr>
        <w:jc w:val="both"/>
        <w:spacing w:before="100" w:after="0"/>
        <w:ind w:start="360"/>
        <w:ind w:firstLine="360"/>
      </w:pPr>
      <w:r>
        <w:rPr>
          <w:b/>
        </w:rPr>
        <w:t>1</w:t>
        <w:t xml:space="preserve">.  </w:t>
      </w:r>
      <w:r>
        <w:rPr>
          <w:b/>
        </w:rPr>
        <w:t xml:space="preserve">Application of chapter 759 to this Act.</w:t>
        <w:t xml:space="preserve"> </w:t>
      </w:r>
      <w:r>
        <w:t xml:space="preserve"> </w:t>
      </w:r>
      <w:r>
        <w:t xml:space="preserve">This Act supplements the Uniform Foreign-country Money Judgments Recognition Act and that Act, other than </w:t>
      </w:r>
      <w:r>
        <w:t>section 8806</w:t>
      </w:r>
      <w:r>
        <w:t xml:space="preserve">, applies to a registration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Options for recognition of Canadian judgment.</w:t>
        <w:t xml:space="preserve"> </w:t>
      </w:r>
      <w:r>
        <w:t xml:space="preserve"> </w:t>
      </w:r>
      <w:r>
        <w:t xml:space="preserve">A person may seek recognition of a Canadian judgment described in </w:t>
      </w:r>
      <w:r>
        <w:t>section 8903</w:t>
      </w:r>
      <w:r>
        <w:t xml:space="preserve"> either:</w:t>
      </w:r>
    </w:p>
    <w:p>
      <w:pPr>
        <w:jc w:val="both"/>
        <w:spacing w:before="100" w:after="0"/>
        <w:ind w:start="720"/>
      </w:pPr>
      <w:r>
        <w:rPr/>
        <w:t>A</w:t>
        <w:t xml:space="preserve">.  </w:t>
      </w:r>
      <w:r>
        <w:rPr/>
      </w:r>
      <w:r>
        <w:t xml:space="preserve">By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Under </w:t>
      </w:r>
      <w:r>
        <w:t>section 8806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Recognition under both Acts prohibited.</w:t>
        <w:t xml:space="preserve"> </w:t>
      </w:r>
      <w:r>
        <w:t xml:space="preserve"> </w:t>
      </w:r>
      <w:r>
        <w:t xml:space="preserve">Subject to </w:t>
      </w:r>
      <w:r>
        <w:t>subsection 4</w:t>
      </w:r>
      <w:r>
        <w:t xml:space="preserve">, a person may not seek recognition in this State of the same judgment or part of a judgment described in </w:t>
      </w:r>
      <w:r>
        <w:t>section 8903, subsection 2</w:t>
      </w:r>
      <w:r>
        <w:t xml:space="preserve"> or </w:t>
      </w:r>
      <w:r>
        <w:t>3</w:t>
      </w:r>
      <w:r>
        <w:t xml:space="preserve"> with regard to the same person under both this Act and the Uniform Foreign-country Money Judgments Recognition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4</w:t>
        <w:t xml:space="preserve">.  </w:t>
      </w:r>
      <w:r>
        <w:rPr>
          <w:b/>
        </w:rPr>
        <w:t xml:space="preserve">Vacated registration.</w:t>
        <w:t xml:space="preserve"> </w:t>
      </w:r>
      <w:r>
        <w:t xml:space="preserve"> </w:t>
      </w:r>
      <w:r>
        <w:t xml:space="preserve">If the court grants a motion to vacate a registration solely on a ground under </w:t>
      </w:r>
      <w:r>
        <w:t>section 8907, subsection 2, paragraph B</w:t>
      </w:r>
      <w:r>
        <w:t xml:space="preserve">, the person seeking registration may:</w:t>
      </w:r>
    </w:p>
    <w:p>
      <w:pPr>
        <w:jc w:val="both"/>
        <w:spacing w:before="100" w:after="0"/>
        <w:ind w:start="720"/>
      </w:pPr>
      <w:r>
        <w:rPr/>
        <w:t>A</w:t>
        <w:t xml:space="preserve">.  </w:t>
      </w:r>
      <w:r>
        <w:rPr/>
      </w:r>
      <w:r>
        <w:t xml:space="preserve">If the defect in the registration can be cured, file a new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Seek recognition of the judgment under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§8909. Relationship to Uniform Foreign-country Money Judgments Recognition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§8909. Relationship to Uniform Foreign-country Money Judgments Recognition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§8909. RELATIONSHIP TO UNIFORM FOREIGN-COUNTRY MONEY JUDGMENTS RECOGNITION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