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6152</w:t>
        <w:t xml:space="preserve">.  </w:t>
      </w:r>
      <w:r>
        <w:rPr>
          <w:b/>
        </w:rPr>
        <w:t xml:space="preserve">Civil action for redemption filed against State</w:t>
      </w:r>
    </w:p>
    <w:p>
      <w:pPr>
        <w:jc w:val="both"/>
        <w:spacing w:before="100" w:after="100"/>
        <w:ind w:start="360"/>
        <w:ind w:firstLine="360"/>
      </w:pPr>
      <w:r>
        <w:rPr/>
      </w:r>
      <w:r>
        <w:rPr/>
      </w:r>
      <w:r>
        <w:t xml:space="preserve">If the Treasurer of State and the person applying to redeem any lands mortgaged to the State disagree as to the sum due thereon, such person may bring a civil action against the State for the redemption thereof in the Superior Court.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§6152. Civil action for redemption filed against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§6152. Civil action for redemption filed against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§6152. CIVIL ACTION FOR REDEMPTION FILED AGAINST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