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Application for authority to transact business</w:t>
      </w:r>
    </w:p>
    <w:p>
      <w:pPr>
        <w:jc w:val="both"/>
        <w:spacing w:before="100" w:after="100"/>
        <w:ind w:start="360"/>
        <w:ind w:firstLine="360"/>
      </w:pPr>
      <w:r>
        <w:rPr/>
      </w:r>
      <w:r>
        <w:rPr/>
      </w:r>
      <w:r>
        <w:t xml:space="preserve">The application of a foreign professional corporation for authority to render professional services in this State must contain the information set forth in </w:t>
      </w:r>
      <w:r>
        <w:t>Title 13‑C, section 1503</w:t>
      </w:r>
      <w:r>
        <w:t xml:space="preserve"> and in addition include a statement that all of its shareholders, not less than a majority of its directors and all of its officers other than its clerk, secretary and treasurer, if any, are licensed in one or more states to render a professional service described in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Application for authority to transact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Application for authority to transact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§772. APPLICATION FOR AUTHORITY TO TRANSACT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