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1891-A</w:t>
        <w:t xml:space="preserve">.  </w:t>
      </w:r>
      <w:r>
        <w:rPr>
          <w:b/>
        </w:rPr>
        <w:t xml:space="preserve">Allagash Wilderness Waterway Permanent Endowment Fund</w:t>
      </w:r>
    </w:p>
    <w:p>
      <w:pPr>
        <w:jc w:val="both"/>
        <w:spacing w:before="100" w:after="100"/>
        <w:ind w:start="360"/>
      </w:pPr>
      <w:r>
        <w:rPr>
          <w:b/>
        </w:rPr>
        <w:t>(REALLOCATED TO TITLE 12, SECTION 1890-B)</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146, §4 (NEW). PL 2007, c. 240, Pt. NN, §2 (NEW). PL 2007, c. 695, Pt. A, §13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§1891-A. Allagash Wilderness Waterway Permanent Endowment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§1891-A. Allagash Wilderness Waterway Permanent Endowment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§1891-A. ALLAGASH WILDERNESS WATERWAY PERMANENT ENDOWMENT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