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9-1612</w:t>
        <w:t xml:space="preserve">.  </w:t>
      </w:r>
      <w:r>
        <w:rPr>
          <w:b/>
        </w:rPr>
        <w:t xml:space="preserve">Timeliness of notification before disposition of collateral</w:t>
      </w:r>
    </w:p>
    <w:p>
      <w:pPr>
        <w:jc w:val="both"/>
        <w:spacing w:before="100" w:after="0"/>
        <w:ind w:start="360"/>
        <w:ind w:firstLine="360"/>
      </w:pPr>
      <w:r>
        <w:rPr>
          <w:b/>
        </w:rPr>
        <w:t>(1)</w:t>
        <w:t xml:space="preserve">.  </w:t>
      </w:r>
      <w:r>
        <w:rPr>
          <w:b/>
        </w:rPr>
      </w:r>
      <w:r>
        <w:t xml:space="preserve"> </w:t>
      </w:r>
      <w:r>
        <w:t xml:space="preserve">Except as otherwise provided in </w:t>
      </w:r>
      <w:r>
        <w:t>subsection (2)</w:t>
      </w:r>
      <w:r>
        <w:t xml:space="preserve">, whether a notification is sent within a reasonable time is a question of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In a transaction other than a consumer transaction, a notification of disposition sent after default and 10 days or more before the earliest time of disposition set forth in the notification is sent within a reasonable time before the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§9-1612. Timeliness of notification before disposition of collateral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§9-1612. Timeliness of notification before disposition of collateral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§9-1612. TIMELINESS OF NOTIFICATION BEFORE DISPOSITION OF COLLATERAL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