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9-1306-A</w:t>
        <w:t xml:space="preserve">.  </w:t>
      </w:r>
      <w:r>
        <w:rPr>
          <w:b/>
        </w:rPr>
        <w:t xml:space="preserve">Law governing perfection and priority of security interests in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if chattel paper is evidenced only by an authoritative electronic copy of the chattel paper or is evidenced by an authoritative electronic copy and an authoritative tangible copy, the local law of the chattel paper's jurisdiction governs perfection, the effect of perfection or nonperfection and the priority of a security interest in the chattel paper, even if the transaction does not bear any relation to the chattel paper's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(2)</w:t>
        <w:t xml:space="preserve">.  </w:t>
      </w:r>
      <w:r>
        <w:rPr>
          <w:b/>
        </w:rPr>
      </w:r>
      <w:r>
        <w:t xml:space="preserve"> </w:t>
      </w:r>
      <w:r>
        <w:t xml:space="preserve">The following rules determine the chattel paper's jurisdiction under this section.</w:t>
      </w:r>
    </w:p>
    <w:p>
      <w:pPr>
        <w:jc w:val="both"/>
        <w:spacing w:before="100" w:after="0"/>
        <w:ind w:start="720"/>
      </w:pPr>
      <w:r>
        <w:rPr/>
        <w:t>(a)</w:t>
        <w:t xml:space="preserve">.  </w:t>
      </w:r>
      <w:r>
        <w:rPr/>
      </w:r>
      <w:r>
        <w:t xml:space="preserve">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authoritative electronic copy is recorded are readily available for review and expressly provide that a particular jurisdiction is the chattel paper's jurisdiction for purposes of this part, this Article or the Uniform Commercial Code,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chattel paper's jurisdiction is the jurisdiction in which the debtor is located.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100"/>
        <w:ind w:start="360"/>
        <w:ind w:firstLine="360"/>
      </w:pPr>
      <w:r>
        <w:rPr>
          <w:b/>
        </w:rPr>
        <w:t>(3)</w:t>
        <w:t xml:space="preserve">.  </w:t>
      </w:r>
      <w:r>
        <w:rPr>
          <w:b/>
        </w:rPr>
      </w:r>
      <w:r>
        <w:t xml:space="preserve"> </w:t>
      </w:r>
      <w:r>
        <w:t xml:space="preserve">If an authoritative tangible copy of a record evidences chattel paper and the chattel paper is not evidenced by an authoritative electronic copy, while the authoritative tangible copy of the record evidencing chattel paper is located in a jurisdiction, the local law of that jurisdiction governs:</w:t>
      </w:r>
    </w:p>
    <w:p>
      <w:pPr>
        <w:jc w:val="both"/>
        <w:spacing w:before="100" w:after="0"/>
        <w:ind w:start="720"/>
      </w:pPr>
      <w:r>
        <w:rPr/>
        <w:t>(a)</w:t>
        <w:t xml:space="preserve">.  </w:t>
      </w:r>
      <w:r>
        <w:rPr/>
      </w:r>
      <w:r>
        <w:t xml:space="preserve">Perfection of a security interest in the chattel paper by possession under </w:t>
      </w:r>
      <w:r>
        <w:t>section 9‑1314‑A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w:pPr>
        <w:jc w:val="both"/>
        <w:spacing w:before="100" w:after="0"/>
        <w:ind w:start="720"/>
      </w:pPr>
      <w:r>
        <w:rPr/>
        <w:t>(b)</w:t>
        <w:t xml:space="preserve">.  </w:t>
      </w:r>
      <w:r>
        <w:rPr/>
      </w:r>
      <w:r>
        <w:t xml:space="preserve">The effect of perfection or nonperfection and the priority of a security interest in the chattel paper.</w:t>
      </w:r>
      <w:r>
        <w:t xml:space="preserve">  </w:t>
      </w:r>
      <w:r xmlns:wp="http://schemas.openxmlformats.org/drawingml/2010/wordprocessingDrawing" xmlns:w15="http://schemas.microsoft.com/office/word/2012/wordml">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debtor is located governs perfection of a security interest in chattel paper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§100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§9-1306-A. Law governing perfection and priority of security interests in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§9-1306-A. Law governing perfection and priority of security interests in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§9-1306-A. LAW GOVERNING PERFECTION AND PRIORITY OF SECURITY INTERESTS IN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