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Bank's liability to customer for wrongful dishonor; time of determining insufficiency of account</w:t>
      </w:r>
    </w:p>
    <w:p>
      <w:pPr>
        <w:jc w:val="both"/>
        <w:spacing w:before="100" w:after="0"/>
        <w:ind w:start="360"/>
        <w:ind w:firstLine="360"/>
      </w:pPr>
      <w:r>
        <w:rPr>
          <w:b/>
        </w:rPr>
        <w:t>(1)</w:t>
        <w:t xml:space="preserve">.  </w:t>
      </w:r>
      <w:r>
        <w:rPr>
          <w:b/>
        </w:rPr>
      </w:r>
      <w:r>
        <w:t xml:space="preserve"> </w:t>
      </w:r>
      <w:r>
        <w:t xml:space="preserve">Except as otherwise provided in this Article, a payor bank wrongfully dishonors an item if it dishonors an item that is properly payable, but a bank may dishonor an item that would create an overdraft unless it has agreed to pay the overdraft.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§40 (NEW).]</w:t>
      </w:r>
    </w:p>
    <w:p>
      <w:pPr>
        <w:jc w:val="both"/>
        <w:spacing w:before="100" w:after="0"/>
        <w:ind w:start="360"/>
        <w:ind w:firstLine="360"/>
      </w:pPr>
      <w:r>
        <w:rPr>
          <w:b/>
        </w:rPr>
        <w:t>(2)</w:t>
        <w:t xml:space="preserve">.  </w:t>
      </w:r>
      <w:r>
        <w:rPr>
          <w:b/>
        </w:rPr>
      </w:r>
      <w:r>
        <w:t xml:space="preserve"> </w:t>
      </w:r>
      <w:r>
        <w:t xml:space="preserve">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§40 (NEW).]</w:t>
      </w:r>
    </w:p>
    <w:p>
      <w:pPr>
        <w:jc w:val="both"/>
        <w:spacing w:before="100" w:after="0"/>
        <w:ind w:start="360"/>
        <w:ind w:firstLine="360"/>
      </w:pPr>
      <w:r>
        <w:rPr>
          <w:b/>
        </w:rPr>
        <w:t>(3)</w:t>
        <w:t xml:space="preserve">.  </w:t>
      </w:r>
      <w:r>
        <w:rPr>
          <w:b/>
        </w:rPr>
      </w:r>
      <w:r>
        <w:t xml:space="preserve"> </w:t>
      </w:r>
      <w:r>
        <w:t xml:space="preserve">A payor bank's determination of the customer's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bank's decision to dishonor the item, the account balance at that time is determinative of whether a dishonor for insufficiency of available funds is wrongful.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§4-402. Bank's liability to customer for wrongful dishonor; time of determining insufficiency of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Bank's liability to customer for wrongful dishonor; time of determining insufficiency of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§4-402. BANK'S LIABILITY TO CUSTOMER FOR WRONGFUL DISHONOR; TIME OF DETERMINING INSUFFICIENCY OF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