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3-1401</w:t>
        <w:t xml:space="preserve">.  </w:t>
      </w:r>
      <w:r>
        <w:rPr>
          <w:b/>
        </w:rPr>
        <w:t xml:space="preserve">Signature necessary for liability on instrument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A person is not liable on an instrument unless:</w:t>
      </w:r>
    </w:p>
    <w:p>
      <w:pPr>
        <w:jc w:val="both"/>
        <w:spacing w:before="100" w:after="0"/>
        <w:ind w:start="720"/>
      </w:pPr>
      <w:r>
        <w:rPr/>
        <w:t>(a)</w:t>
        <w:t xml:space="preserve">.  </w:t>
      </w:r>
      <w:r>
        <w:rPr/>
      </w:r>
      <w:r>
        <w:t xml:space="preserve">The person signed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person is represented by an agent or representative who signed the instrument and the signature is binding on the represented person under </w:t>
      </w:r>
      <w:r>
        <w:t>section 3‑1402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§13 (COR).]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§36 (RP);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2011, c. 1, §13 (COR). PL 2023, c. 669, Pt. A, §§35, 36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§3-1401. Signature necessary for liability on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§3-1401. Signature necessary for liability on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§3-1401. SIGNATURE NECESSARY FOR LIABILITY ON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