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this part, </w:t>
      </w:r>
      <w:r>
        <w:t>Article 9‑A</w:t>
      </w:r>
      <w:r>
        <w:t xml:space="preserve"> as in effect on July 1, 2025 and </w:t>
      </w:r>
      <w:r>
        <w:t>Article 12</w:t>
      </w:r>
      <w:r>
        <w:t xml:space="preserve"> apply to a transaction, lien or other interest in property, even if the transaction, lien or interest was entered into, created or acquired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and </w:t>
      </w:r>
      <w:r>
        <w:t>sections 15‑302</w:t>
      </w:r>
      <w:r>
        <w:t xml:space="preserve"> to </w:t>
      </w:r>
      <w:r>
        <w:t>15‑306</w:t>
      </w:r>
      <w:r>
        <w:t xml:space="preserve">:</w:t>
      </w:r>
    </w:p>
    <w:p>
      <w:pPr>
        <w:jc w:val="both"/>
        <w:spacing w:before="100" w:after="0"/>
        <w:ind w:start="720"/>
      </w:pPr>
      <w:r>
        <w:rPr/>
        <w:t>(a)</w:t>
        <w:t xml:space="preserve">.  </w:t>
      </w:r>
      <w:r>
        <w:rPr/>
      </w:r>
      <w:r>
        <w:t xml:space="preserve">A transaction, lien or interest in property that was validly entered into, created or transferred before July 1, 2025 and was not governed by the Uniform Commercial Code, but would be subject to </w:t>
      </w:r>
      <w:r>
        <w:t>Article 9‑A</w:t>
      </w:r>
      <w:r>
        <w:t xml:space="preserve"> as in effect on July 1, 2025 or </w:t>
      </w:r>
      <w:r>
        <w:t>Article 12</w:t>
      </w:r>
      <w:r>
        <w:t xml:space="preserve"> if it had been entered into, created or transferred on or after July 1, 2025, including the rights, duties and interests flowing from the transaction, lien or interest, remains valid on and after July 1, 2025;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The transaction, lien or interest may be terminated, completed, consummated and enforced as required or permitted by this Title as in effect on July 1, 2025 or by the law that would apply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provisions of this Title that take effect July 1, 2025 do not affect an action, case or proceeding commenced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§15-301.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§15-301.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§15-301.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