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1545</w:t>
        <w:t xml:space="preserve">.  </w:t>
      </w:r>
      <w:r>
        <w:rPr>
          <w:b/>
        </w:rPr>
        <w:t xml:space="preserve">Attorneys fees</w:t>
      </w:r>
    </w:p>
    <w:p>
      <w:pPr>
        <w:jc w:val="both"/>
        <w:spacing w:before="100" w:after="100"/>
        <w:ind w:start="360"/>
        <w:ind w:firstLine="360"/>
      </w:pPr>
      <w:r>
        <w:rPr/>
      </w:r>
      <w:r>
        <w:rPr/>
      </w:r>
      <w:r>
        <w:t xml:space="preserve">If a claim of misappropriation is made in bad faith, a motion to terminate an injunction is made or resisted in bad faith or willful and malicious misappropriation exists, the court may award reasonable attorneys fees to the prevailing party.</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§1545. Attorneys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§1545. Attorneys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§1545. ATTORNEYS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