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1184</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Act(15 U.S.C. 45), as from time to time amended.</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If any provision of this chapter is declared unconstitutional or the applicability thereof to any person or circumstance is held invalid, the constitutionality of the remainder of this chapter and the applicability thereof to persons and circumstances shall not be affected thereby.</w:t>
      </w:r>
      <w:r>
        <w:t xml:space="preserve">  </w:t>
      </w:r>
      <w:r xmlns:wp="http://schemas.openxmlformats.org/drawingml/2010/wordprocessingDrawing" xmlns:w15="http://schemas.microsoft.com/office/word/2012/wordml">
        <w:rPr>
          <w:rFonts w:ascii="Arial" w:hAnsi="Arial" w:cs="Arial"/>
          <w:sz w:val="22"/>
          <w:szCs w:val="22"/>
        </w:rPr>
        <w:t xml:space="preserve">[PL 1981, c. 331,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1981, c. 331,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