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State insect</w:t>
      </w:r>
    </w:p>
    <w:p>
      <w:pPr>
        <w:jc w:val="both"/>
        <w:spacing w:before="100" w:after="100"/>
        <w:ind w:start="360"/>
        <w:ind w:firstLine="360"/>
      </w:pPr>
      <w:r>
        <w:rPr/>
      </w:r>
      <w:r>
        <w:rPr/>
      </w:r>
      <w:r>
        <w:t xml:space="preserve">The honeybee shall be designated as the official insect for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271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 State insect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State insect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§214. STATE INSECT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